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Intergenerational Care Facility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Grant Program; to amend section 81-3145,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provisions related to eligibility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grants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81-3145,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81-3145 (1) The Intergenerational Care Facility Incentive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created. It is the intent of the Legislature to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thousand dollars from the Medicaid Managed Care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Fund for fiscal year 2024-25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grants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Health and Human Services shall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eligibility, application, and audits for grants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collaboration with statewide associations representing nursing homes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38-2414 and other stakeholders.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with such associations prior to October 1, 2024, to identify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statutes, rules, regulations, or other regulatory barriers that impede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development of an intergenerational care facility in which nursing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child care are provided and develop recommendations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remediate such barriers that do not impact the safety of the staff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of the nursing services and child care or the quality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services and child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grants shall be awarded to facilities that are nursing homes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38-2414 or assisted-living facilities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71-5903 and that have been certified for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medicare or medicaid. The grants shall be used for one-time startup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expansion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to provide for child care in such facilities. 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awarded one grant under this section of up to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grants shall be awarded for modification of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of outside campus space of the nursing facilities,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child care equipment and supplies, or any combination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A facility that is applying for or awarded a grant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own or operate the child care services for which the grant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 facility may not apply for a grant if it has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a grant under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department shall award the grants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nonprofit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proprietary facilities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the basis of date of application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priority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given to rural communities, as defined in section 81-1228,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applications filed on the same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facility that was cited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substandard quality of care during its most recent survey is not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grant under this section. Each grant recipient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to participate in the quality rating and improvement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71-1956 within three years after the date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awarded.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81-3145,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