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coverage of eating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later than January 1, 2027, and notwithstanding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44-794 and 44-3,131, any health benefit plan delivered,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delivery, renewed, or continued in this state shall provide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diagnosis and treatment of an eating disorder. Such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include: (a) Medical, psychological, and pharmaceutical care;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nutritional counseling provided by a licensed dietitian or nutritionist;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(c) services provided at all levels of care, including, but not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inpatient,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residential,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partial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hospitalization,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00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intensive outpatient treatment.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Coverage under this section shall not be limited or denied 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(a) the covered individual's body weight, body mass index, or physical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appearance or (b) the fact that the covered individual has not previously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completed or failed a lower level of care.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sections 1 to 3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Eating disorder means a condition as defined in the most recent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edition of the Diagnostic and Statistical Manual of Mental Disorders;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Health benefit plan means any hospital or medical policy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certificate, major medical expense insurance policy or certificate,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maintenance organization subscriber contract delivered, issued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delivery, renewed, or continued in this state. Health benefit plan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include an accident-only, a specified disease, a hospital indemnity,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Medicare supplement, a long-term care, or other limited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Medically necessary means a health care service or supply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consistent with generally accepted standards of care and the clinical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guidelines for the treatment of an eating disorder published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American Psychiatric Association or another nationally recognized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clinical organization.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limitations on construction found in section 44-794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apply to the benefits mandated by section 1 of this act.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insurer shall not utilize the provisions of section 44-794 relating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mechanisms designed to limit coverage to impose non-quantitative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limitations on eating disorder benefits that are more stringent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those applied to medical and surgical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utilization review or medical necessity determination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eating disorder shall be conducted by a provider with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expertise in the treatment of eating disorders.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Insurance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carry out sections 1 to 3 of this act.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