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Riepe, 12.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County and City Lottery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9-648,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percentage of the tax required on gross proceeds under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act; to provide an operative date;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9-648,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9-648 Any county, city, or village which conducts a lottery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 to the department on a quarterly basis a tax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gross proceeds. Such tax shall be remitted not later than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close of the preceding quarter on forms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The department shall remit the tax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Charitable Gaming Operations Fund. All deficiencies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this section shall accrue interest and be subject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as provided for sales and use taxes in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9-648,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7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