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44;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Child Care Licensing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legislative intent; to provide for a child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licensing pilot program as prescribed; to provide powers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for the Director of Public Health of the Division of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of the Department of Health and Human Services;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waiver of certain child care licensing requirements;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71-1908 (1) Sections 71-1908 to 71-1923.03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2 and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finds that there is a present and growing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quality child care programs and facilities. There is a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licensure of persons providing such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such persons are competent and are using safe and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 Legislature further finds and declares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supervision of programs are a matter of statewide concern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should be dealt with uniformly on the state and local levels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need for cooperation among the various state and local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impose standards on licensees, and there should be one agency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coordinates the enforcement of such standards and informs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cooperation among the various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Director of Public Health of the Division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of the Department of Health and Human Services may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with any number of licensees to develop and operate a pilot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designed to increase the availability or capacity of day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director may grant licensure to a person to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in a pilot program under this section that waives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the rules and regulations related to licensure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a day care facility or youth development program,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staff at such day care facility or youth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program. A facility granted a license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alternative terms, conditions, and requirements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director as may be necessary to protect the health, safety,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of the children who attend such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director shall not grant a license under this section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determines that a day care facility or youth development program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staff member of such facility or program would endanger the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safety, and welfare of a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director may grant licensure to a person to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under this section for no more than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director determines that a pilot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is successful and increases the availability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of child care facilities in the state, the director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suggestions and recommendations to the Legislature for statutory changes.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granted licensure to maintain a facility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 waiver from the requirements of the Child Care Licensing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specific period of time from the Director of Public Health.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waiver request shall be in a form and manner approved by the director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 the provisions of the rules and regulations sought to be waived.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Waiver requests shall be granted on a case-by-case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71-1908,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