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Mental Health Practice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training on domestic abuse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 Sections 38-2101 to 38-2147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two years, a minimum of two hours of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 domestic abuse counseling shall be required for all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practitioners under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training shall be conducted by an individual who has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domestic abuse training required in section 38-2123,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of three years' experience working with victims of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offenders, and (c) completed an additional forty hours in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abuse-related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the section, domestic abuse is abuse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38-2123 (1) A person who needs to obtain the required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supervised experience in mental health practice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38-2122 to qualify for a mental health practitioner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provisional mental health practitioner license. To qualify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mental health practitioner license, such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a master's degree, a doctoral degree, or the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master's degree, as determined by the board, that consists of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training which was primarily therapeutic mental health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and included a practicum or internship and was from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program as specified in section 38-2122;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Apply prior to earning the three thousand hours of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 the provisional mental health practitioner license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Obtain three hours of training on domestic abuse, which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 (i) Appropriate screening tools for victims of domestic abuse;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indicators of high lethality or risk; (iii) documentation standards;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appropriate referrals to domestic abuse specific services, advocacy,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systems navigation professionals; (v) impact on children;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ethical practice and boundaries; and (vii) trauma-informed, victim-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centered care and safety planning. For purposes of this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(d), domestic abuse means abuse as defined 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rules and regulations approved by the board and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department shall not require that the applicant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 in place at the time of application for a provisional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provisional mental health practitioner license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licensure as a mental health practitioner or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issuance,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who holds a provisional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inform all clients that he or she holds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and is practicing mental health under supervision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supervisor. Failure to make such disclosure is a ground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as set forth in section 38-2139.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38-2101 and 38-2123,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