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or private nuisances;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provide immunity from claims of public or private nuisance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motor vehicle racing facilities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Associated amenities includes any racetrack, garage, pit,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spectator seating, concession facility, restroom facility,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office, maintenance facility, parking area, and driveway;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Motor vehicle means any vehicle that is propelled by any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muscular power;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Motor vehicle racing facility means a facility and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amenities where one or more motor vehicles are used in any land-based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racing competition or in practice for any land-based racing competition;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Racetrack includes any track that is paved or unpaved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oval track, road course, and drag strip.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motor vehicle racing facility shall not be found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or private nuisance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facility existed before a change in the land 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occupancy of land in and about the locality of such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Before such change, the facility would not have been a nuisance.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civil action against a motor vehicle racing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or private nuisance shall not be brought more than two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condition that is the subject matter of the action reaches a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sufficient to sustain a claim of nuisance.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shall not apply to any action brought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or to enforce a previous order of a court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claim of nuisance or to any claims for additional damages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equitable relief available when a motor vehicle racing facility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remediate a nuisance pursuant to such court order.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