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coverage of asthma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inhalers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Notwithstanding section 44-3,131, (a)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group sickness and accident insurance policy or subscriber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delivered, issued for delivery, or renewed in this state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medical, or surgical expense-incurred policy,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that provide coverage for a specified disease or other limited-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coverage, and (b) any self-funded employee benefit plan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not preempted by federal law shall provide coverage for inhalers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treatment of asthma when prescribed by a licensed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Coverage shall be provided for one form of rescue and one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maintenance inhaler that shall not be subject to a deductible,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copayment, coinsurance, or other cost-sharing arrangement. If the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 high deductible health plan as defined in section 223(c)(2)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Revenue Code of 1986, such coverage may be subject to the plan's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deductible if application of this requirement would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ineligibility for a health savings account.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