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Bosn, 25; DeKay, 40; Hallstrom, 1; Hardin, 48.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provide for civil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persons for conduct relating to obscene materials,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materials, and child sexual exploitation devices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images; to define terms; to provide powers for the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county attorneys; to provide immunity for Internet utilities,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courts, attorneys, and agents and employees of courts and attorneys;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 civil penalty;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Child sexual abuse material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28-1802;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Internet utility has the same meaning as in section 87-1002;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Obscene has the same meaning as in section 28-807;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Prohibited content means any depiction or content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child sexual abuse material;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Describes or promotes child sexual abuse material;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Is obscene.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shall not intentionally: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Allow or facilitate access to prohibited content on a publicly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Internet website;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Issue, sell, give, provide, deliver, transfer, transmit,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circulate, or disseminate by any means on an Internet website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prohibited content;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Create or develop prohibited content that is made available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Internet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Except as provided in subdivision (3)(b) of this section,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depicted in or exposed to prohibited content may bring a civil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for appropriate relief against any person who violates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of this section with respect to such prohibited content.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This subsection does not authorize a civil action by an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whose exposure to child sexual abuse material was caused by such adult's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intentional viewing of such material.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Appropriate relief in an action under this subsection includes: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preliminary and other equitable relief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Actual damages, both economic and noneconomic;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attorney's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costs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reasonably incurred.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 an action under this subsection, the doctrine of contributory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negligence shall not apply, and no plaintiff shall be allocated 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Chapter 25. A person who violates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jointly and severally liable for damages caused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may bring a civil action against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 subsection (2) of this section to restrain or enjoin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for such other equitable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Internet utility does not violate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solely by providing access or connection to or from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or content on the Internet or a facility, system,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not under the Internet utility's control, including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or transmitting, downloading, or storing data,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Internet utility is not responsible, in whole or in part,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 or development of prohibited content.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This section is intended to create a new statutory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that is in addition to any other remedy that may exist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 The duties and liabilities created under this section apply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not the violator would be considered a publisher or distributor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content under any other statutory or common law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Sovereign immunity shall not be an affirmative defense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brought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remedy available under this section may be awarded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whether the conduct giving rise to the remedy resulted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prohibited content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There shall be no civil or criminal liability for the viewing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prohibited content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judge who does so in good faith and for purposes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before the court;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attorney who does so in good faith in the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 a client or potential client;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agent or employee of a judge or attorney who does so in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faith and for a legitimate purpose while acting with the scope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or employment.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Child sexual exploitation device or image means an anatomically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 mannequin, robot, doll, device, or image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the features of, or features that resemble those of,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intended for use in sexual acts;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Minor means an individual under eighteen years of 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Knowingly buy, sell, deliver, or distribute any child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exploitation device or image;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Knowingly possess a child sexual exploitation device or image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has been bought, sold, delivered, or distributed;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Possess a child sexual exploitation device or image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 to engage in any conduct prohibited by subdivision (2)(a)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A minor whose features are represented by, or intended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violator to be represented by, a child sexual exploitation device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image, may bring a civil action for appropriate relief against any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violates subsection (2) of this section with respect to such device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image.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Appropriate relief in an action under this subsection includes: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Such preliminary and other equitable relief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Actual damages, both economic and noneconomic; and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attorney's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costs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person who violates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 civil penalty of not more than ten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The Attorney General or a county attorney may seek recovery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civil penalties in a civil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or a county attorney may also bring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against a person who violates subsection (2)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 or enjoin such violation and for such other equitable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deems appropriate to carry out the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civil penalties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