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Quick, 35.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insurance; to define terms; to prohibit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actions of insurers relating to repairing motor vehicles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nonoriginal equipment manufacturer parts; to require insurers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notice to consumers as prescribed; and to provide a penalty.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sections 1 to 8 of this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Consumer has the same meaning as in section 60-2701;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Consumer care has the same meaning as in section 60-1401.10;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Insurer includes any: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Insurance company;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Person authorized to represent an insurer with respect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claim who is acting within the scope of such person's authority;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Nonoriginal equipment manufacturer means any manufacturer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the original equipment manufacturer for the motor vehicle;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 Part means any part that generally constitutes the exterior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motor vehicle, including inner and outer panels;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Part does not include any tire, windshield, or window.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insurer shall directly or indirectly require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nonoriginal equipment manufacturer part that does not carry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sufficient permanent identification so as to identify the manufacturer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part. Such identification shall be accessible to the extent possible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installation.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insurer shall directly or indirectly require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nonoriginal equipment manufacturer part unless such part is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equal in quality to the corresponding original equipment manufacturer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 in terms of fit and performance. The cost of any modification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becomes necessary when making the repair shall be considered as a factor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determining the quality of the nonoriginal equipment manufacturer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insurer shall not directly or indirectly: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Accept any estimate or authorize any repair unless the consumer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advised that he or she is not required to accept any nonoriginal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equipment manufacturer part in the repair of the motor vehicle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 consents in writing to the use of any nonoriginal equipment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manufacturer part before any repair is made;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Require any consumer to pay any difference in price if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 elects to use any original equipment manufacturer part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repair of the consumer's motor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Prior to any repair being made on a consumer's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involves use of a nonoriginal equipment manufacturer part,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insurer of the motor vehicle shall provide the following notice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 in a font that is no smaller print than ten-point type: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ESTIMATE HAS BEEN PREPARED BASED ON THE USE OF AT LEAST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AUTOMOBILE PART NOT MADE BY THE ORIGINAL EQUIPEMENT MANUFACTURER OF YOUR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VEHICLE. ANY NONORIGINAL EQUIPMENT MANUFACTURER PART USED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REPAIR OF YOUR MOTOR VEHICLE IS REQUIRED TO BE AT LEAST OF EQUAL QUALITY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TERMS OF FIT AND PERFORMANCE TO THE ORIGINAL EQUIPMENT MANUFACTURER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 IT IS REPLACING.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nonoriginal equipment manufacturer part that is intended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installed on a consumer's motor vehicle shall be clearly identified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estimate for the repair of the motor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insurer shall require consumer care of a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be completed with aftermarket parts if such motor vehicle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manufactured within thirty-six months of the date of the damage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vehicle that is receiving such consumer care.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insurer may include the following notice in a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covers consumer care of a motor vehicle manufactured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thirty-six months prior to the date of the policy in capitalized ten-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point font and without other policy language on the page: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REPAIR OF YOUR COVERED MOTOR VEHICLE UNDER THE DAMAGE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COVERAGE PROVISIONS OF THIS POLICY, WE MAY REQUIRE OR SPECIFY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AFTERMARKET PARTS NOT MADE BY THE ORIGINAL EQUIPMENT MANUFACTURER.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AFTERMARKET PARTS ARE REQUIRED TO BE AT LEAST EQUAL IN TERMS OF FIT,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QUALITY, PERFORMANCE, AND WARRANTY TO ORIGINAL EQUIPMENT MANUFACTURER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violation of sections 1 to 7 of this act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insurer is a Class I misdemeanor.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