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Revised Statutes Cumulative Supplement, 2024;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of unlawful squatting; to provide duties for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officers; to provide a penalty;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the offense of unlawful squatting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Enters upon the land or premises of another and resides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 or premises for any period of time with the intent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of such land or premises or otherwise appropriate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rightful owner of such land or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Knowingly enters upon such land or premises with such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knowledge or consent of the owner or rightful occupant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representative of the owner or rightful occupant.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law enforcement officer has probable cause to believe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committed unlawful squatting, the officer shall issue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 warning citation. Conditions sufficient to establish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shall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presence of persons or personal property on the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which show signs typical of abandonment or inoccupancy;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construction of a shanty, tent, or other nonpermanent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upon the land or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warning citation shall advise the recipient that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business days after receiving such warning citation,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appear in person before a designee of the officer's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and present properly executed documentation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to reside on such land or premises. Proper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includes, but is not limited to, a deed or title to the land or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properly executed rental agreement or other agreement, or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payments. Original copies of proper documentation are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recipient may satisfy this subsection by providing photographic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electronic copies of such documentation.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such person fails to appear and provide documentation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(3) of this section or if such documentation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authentic or does not authorize such residency,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arrest for unlawful squatting and upon conviction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