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Storm, 23; DeKay, 40; 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initiative and referendum measures;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32-1405 and 32-1412,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provide duties;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suits brought regarding initiative and referendum petitions;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32-1405 (1) Prior to obtaining any signatures on an initiative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referendum petition, a statement of the object of the petition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text of the measure shall be filed with the Secretary of State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sworn statement containing the names and street addresses of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corporation, or association sponsoring the petition. Sponsors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may be added or removed with the unanimous written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original sponsor or sponsors at any time prior to or on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is filed for verification with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the filing, the Secretary of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 the text of the proposed measure to the Revisor of Statutes.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Revisor of Statutes shall review the proposed measure and suggest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form and draftsmanship. The revisor shall complete the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business days after receipt from the Secretary of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shall provide the results of the review and suggested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to the sponsor but shall otherwise keep the proposed measure,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review, and the sworn statement confidential for five days after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review by the sponsor. The Secretary of State shall then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measure, the opinion, and the sworn statement as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as a part of the official record of the initiative.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 may make any changes recommended by the Revisor of Statutes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submit final language to the Secretary of State. If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is addressing a subject that is substantially different in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substance from the initial filing or the changes recommended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Revisor of Statutes, the Secretary of State shall reject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Secretary of State shall prepare the form of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final language filed by the sponsor and shall provide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 of the petition to the sponsor within five business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the final language of the proposed measure. The sponsor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 the petitions to be circulated from the forms provided. Prior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circulation, the sponsor shall file a sample copy of the petition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circulated with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the sample copy of the petition,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State shall post on the Secretary of State's website the text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 and notice that the measure is in circulation. The text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remain posted until the deadline for filing 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32-1412,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32-1412 (1) If the Secretary of State refuses to place on the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measure proposed by an initiative petition presented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presented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four months preceding the date of the election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proposed law or constitutional amendment is to be voted upon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referendum petition presented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which may be presented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Legislature enacting the law to which the petition applies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adjourns sine die or for a period longer than ninety days, any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apply, within ten days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announcement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refusal,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court of Lancaster County for a writ of mandamus.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State's refusal to place the measure on the ballot is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 legal insufficiency other than an insufficiency of signatures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Article III, section 2, of the Constitution of Nebraska,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 shall announce his or her refusal on the same date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posting the notice of circulation pursuant to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32-1405 and shall state the reason for his or her refusal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announcement. The Secretary of State's failure to state the reason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refusal in the announcement shall be considered a waiver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those defenses.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it is decided by the court that such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legally sufficient, the Secretary of State shall order the issue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ballot at the next general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 showing that an initiative or referendum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legally sufficient, the court, on the application of any resident,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enjoin the Secretary of State and all other officers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certifying or printing on the official ballot for the next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the ballot title and number of such measure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(ii) declare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 legally removed from the ballot if preventing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printing of the measure on the ballot is no longer practicable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 is filed against the Secretary of State seeking to enjoin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placing the measure on the official ballot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to have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declare the measure legally removed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person who is the sponsor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the petition shall be a necessary party defendant in such suit.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suit brought pursuant to this subsection asserting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insufficiency of an initiative or referendum petition, other than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insufficiency of signatures pursuant to Article III, section 2,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Nebraska, shall be commenced within sixty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 posts the notice of circulation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of section 32-1405 unless the sixtieth day falls after the deadline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filing petitions. If the sixtieth day falls after the deadline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petitions, then the suit shall be commenced by the close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on the last day for filing 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Such suits shall be advanced on the trial docket and heard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decided by the court as quickly as possible. Either party may appeal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of Appeals within ten days after a decision is rendered.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procedures described in the Administrative Procedure Act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district court of Lancaster County shall have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all litigation arising under sections 32-1401 to 32-1416.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However,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suit brought pursuant to this section does not assert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insufficiency of signatures, then the Supreme Court shall hear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its original jurisdiction under section 24-204 if practicable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upon petition of any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official asserting a defense to an action brought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(1) of this section, or any resident asserting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insufficiency of an initiative or referendum petition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section, may raise the substantive facial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insufficiency of the measure in question. Such an insufficiency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sole basis for the claim or defense. No claim shall be dismissed,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official prevented from raising a defense, for lack of ripeness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claimed substantive facial insufficiency.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Nothing in this section shall be construed as applying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limiting suits not brought pursuant to this section and brought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enactment of a measure.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32-1405 and 32-1412,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