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664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43; Andersen, 49; Conrad, 46; Murman, 38; Riepe,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Administrative Procedure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84-906.02 and 84-911, Reissue Revised Statutes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require agencies to allow for public comment and submissions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proposals or adoptions of rules or regulations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provide for venue to challenge rules or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84-906.02,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84-906.02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to seeking information by other methods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publication of a notice under section 84-907, an agency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encouraged to and may solicit comments from the public on a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 of possible rule or regulation making by causing notice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in a newspaper of general circulation of the subject matter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indicating where, when, and how persons may comment.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When considering the proposal or adoption of a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regulation, an agency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Allow any person to submit comments or written materials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documentation in support or opposition to such proposal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Allow for such submission to be accomplished electronically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mail;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Not require a person wishing to make such a submission to travel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particular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84-911 (1) The validity of any rule or regulation may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a petition for a declaratory judgment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thereon addressed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court of Lancaster 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it appears that the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or its threatened application interferes with or impairs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threatens to interfere with or impair the legal rights or privileges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petitioner.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petition shall be filed in the district court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county in which venue is proper under subsection (3) of this section.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shall be made a party to the proceeding. The declaratory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rendered whether or not the petitioner has first requested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to pass upon the validity of the rule or regulation in 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court shall declare the rule or regulation invalid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finds that it violates constitutional provisions, exceeds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statutory authority of the agency, or was adopted without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statutory procedures.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subsection, statutory procedures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procedures provided under the Negotiated Rulemaking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Venue for filing a petition under this section shall be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any of the following counties in Nebraska: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county where the petitioner resides;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county where the petitioner's principal place of business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Lancaster County;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county in which the agency has its headquarters.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agency shall not take any action to restrict venue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contravention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84-906.02 and 84-911,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