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482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amend section 44-359,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44-359,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44-359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cases when the beneficiary or other person entitled thereto brings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action upon any type of insurance policy, except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insurance, or upon any certificate issued by a fraternal benefit society,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company, person, or association doing business in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court, upon rendering judgment against such company, 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shall allow the plaintiff a reasonable sum as an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in addition to the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plaintiff's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recovery,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taxed as part of the costs. If such cause is appealed, the appellate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likewise allow a reasonable sum as an attorney's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proceedings, except that if the plaintiff fails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for more than may have been offered by such company, 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in accordance with section 25-901, then the plaintiff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recover the attorney's fee provided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Subsection (1) of this section does not apply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plaintiff's right to bring the action is based on a post-loss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rights or benefits arising out of a claim by a property owner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 to insured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44-359,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