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Attorney General; to adopt the Private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Retention Sunshine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Private Attorney Retention Sunshine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 in order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and accountability of taxpayer dollars and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uniformity among state agencies for the provision of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including legal services, the Legislature adopts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Retention Sunshine Act. The act will ensure that if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is delegated to private attorneys, government lawsuits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prosecuted in a manner to further the public interest rather than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the profitability of private attorneys. Taxpayers deserve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and accountability when state contracts for legal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to ensure an open, transparent, and competitive public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process. Additionally, taxpayers deserve a mechanism for oversight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accountability regarding contracts for legal services and components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expenses, the fee agreement, and other record keeping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upon completion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Private Attorney Retention Sunshine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contract for legal services exceeding ten thousand dollars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in which the fee paid to a private attorney or law firm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flat, hourly, or contingent fee, and expenses, exceeds or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 expected to exceed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not retain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or law firm to perform legal services on behalf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an open and competitive bidding process has been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requirements set forth in section 73-807.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When executing a contract for legal services exceeding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the Attorney General shall file the proposed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Appropriations Committee of the Legislature, if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 session, or with the Executive Board of the Legislative Council,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is not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ten days after the filing, the committee or executive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hold a public hearing on the proposed contract and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report to the Attorney General. The report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to the proposed contract approved by the committee or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The Attorney General shall review the report and adopt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contract taking into consideration the committee's or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board's findings and shall file the proposed final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or executive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proposed final contract does not contain the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by the committee or executive board, the Attorney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an explanation of the reasons for the omission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changes, including any exigent circumstances, with the proposed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contract. No earlier than thirty days after sending the proposed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and any explanation to the committee or executive board,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may execute the final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conclusion of a legal proceeding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attorney or law firm has been retained on a contingent-fee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or law firm shall provide the Attorney General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 of the hours worked, expenses incurred, the aggregate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amount, and a breakdown of the hourly rate, calculated based on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worked divided by the amount of the fee recovered, minus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shall not incur legal fees greater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hour for legal services rendered. If a disclosure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this section indicates an hourly rate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hour, the rate shall be reduced to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Retention Sunshine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between private attorneys and the Attorney General executed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Private Attorney Retention Sunshine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expand the authority of the Attorney General to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if no such authority otherwise exists.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