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 25-228,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the statute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limitations on certain civil actions for sexual assault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25-228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State Tort Claims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Political Subdivisions Tort Claims Act, there shall not be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limitation for an action against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 any other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law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shall not be any time limitation for an action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or individuals directly causing an injury or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suffered by a plaintiff when the plaintiff was a victim of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 or 28-320.01 if such violation occurred (i)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24, 2017, or (ii) prior to August 24, 2017, if such action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previously time barred;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action against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or entity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directly causing an injury or injuries suffered by a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plaintiff was a victim of a violation of section 28-319.01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violation occurred (i) on or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or (ii) prior to the effective date of this act,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was not previously time barred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only be brought within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 after the plaintiff's twenty-first birthday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Criminal prosecution of a defendant under section 28-319.01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28-320.01 is not required to maintain a civil action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25-228,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