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care; to adopt the Child Care Safety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Security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Child Care Safety and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that the safety and security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 in child care and early education programs warrants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preparedness for, and response to, weather events, fires,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intruders, accidents, and other threats to a child's safety.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that standards for emergency preparedness and response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and early education programs be aligned with such standards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 and secondary schools.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Child Care Safety and Security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Child care and early education program means a program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Child Care Licensing Act and which operates as a for-profit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nonprofit organization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amended, the federal Head Start program, and the Early Head Start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Early childhood support agency means an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support services to a child care and early education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Emergency response notification system means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that delivers alerts or other notifications during an emergency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targeted group of subscribers;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Designee means a public school district, city or village,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health department, law enforcement agency, early childhood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agency, or local emergency management agency that enters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memorandum of understanding as described in section 5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Safety and reunification procedure means a standard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State Department of Education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preparedness and response.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Child Care Safety and Security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administered by the State Department of Education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money transferred by the Legislature.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Subject to available appropriations, the department shall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 to educational service units on a competitive basis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designees for emergency response notification systems, training,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related to safety and reunification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educational service unit may apply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Education for a grant, using forms and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department, to provide funding to designees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boundaries of an educational service unit. To receive funding,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designee shall enter into a memorandum of understanding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educational service unit in the designee's geographic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 of funding qualifying projects as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In order to qualify for a grant, the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demonstrate to the department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designee is assigned, through a memorandum of understanding,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administer the emergency response notification system for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early education programs that opt into the notification system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defined geographic area. Such defined geographic area shall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 to reasonably respond to local area emergencies. Other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required to be licensed under the Child Care Licensing Act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geographic area may subscribe to the emergency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system. Funding amounts for designees under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exceed one thousand dollars per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security and safety plan approved by the department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designee which shall operate the emergency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system. Such security and safety plan shall include information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response team to provide for reunification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designee is assigned, through a memorandum of understanding,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distribute safety and reunification procedure materials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that care for children in child care and early education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programs. Funding amounts for designees under this subdivision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one thousand dollars per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designee is assigned, through a memorandum of understanding,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coordinate, administer, or provide for safety and reunification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training to child care and early education programs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administrators, staff, children, and parents.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for designees under this subdivision shall not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December 1 of each year,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Education shall provide an electronic report to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which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number of designees that received grant funding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Safety and Security Act, including the type of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ages of children served by programs enrolled in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 notification system, the number of children served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programs, and the geographic locations of such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How grant funds were 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average amount of grant funds received by designees broken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down by the number of children served;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number of designees denied grant funding and the reasons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report shall not identify any child care and early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Board of Education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to carry out the Child Care Safety and Security Act.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