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Property Tax Growth Limitation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13-3403,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calculation of property tax request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13-3403 (1) Except as otherwise provided in the Property Tax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for fiscal years beginning on or after July 1, 2025,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for any year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its property tax request authority as determined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preliminary property tax request authority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be the amount of property taxes requested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each political subdivision and included on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filed with the auditor in the prior fiscal year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13-506, less the sum of exceptions utilized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year pursuant to subdivisions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(2), (4), (5), (6),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of section 13-3404.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preliminary property tax request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subdivision's property tax request authority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product of (i) the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subdivisions (1) and (2) of section 13-3404, and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growth 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product of (i) the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subdivisions (1) and (2) of section 13-3404, and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zero or the inflation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13-3403,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