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Political Subdivisions Tort Claims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amend section 13-901, Reissue Revised Statutes of Nebraska;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certain claims under the act; to harmonize provisions;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13-901 Sections 13-901 to 13-928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2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and may be cited as the Political Subdivisions Tort Claims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sewer system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 system that is owned and operated by a political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If a private residence or other building is damaged due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sewer system backup caused by the negligent act or omission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of the political subdivision that operates the sewer system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 hired by such political subdivision and the amount of damages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 known and not in dispute, the owner of the private residence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may file a claim under the Political Subdivisions Tort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and the governing body of the political subdivision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within ninety days after the date of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negligent act or omission described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 was committed by a contractor of a political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political subdivision may bring an action for recovery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13-901,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