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railroads; to provide for confidentiality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train crew members involved with railroad fatalities and access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confidential information of train crew members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train crew members from being required to display operator's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to law enforcement; and to define a term.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personal identifying information of train crew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contained in reports involving railroad fatalities and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communications between law enforcement and train crew members involved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railroad fatalities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Redacted from any public reports;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Maintained by law enforcement and any persons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that are in possession of the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communications, in a manner that ensures the confidentiality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identifying information of the train crew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Unredacted copies of the reports and communications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at all reasonable times: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the host or employing railroad;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any person authorized to access such copies by court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any person specifically authorized by court order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if access to the copies is necessary for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 duties;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any law enforcement officer, prosecutor, or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staff if access to the reports and communications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performance of such person's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train crew member is not required to display an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any law enforcement officer in connection with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locomotive or train 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train crew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engineer, conductor, brakeman, or any other member of the crew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locomotive or train being operated upon rails, including operation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railroad crossing over a public street, road, or highway.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