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Political Subdivisions Tort Claims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13-905,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political subdivisions to identify authorized recipients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tort claims; to provide for tolling of certain deadlines;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13-905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tort claims under the Political Subdivisions Tort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Act and sections 16-727, 16-728, 23-175, 39-809, and 79-610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with the clerk, secretary, or other official whose duty it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the official records of the political subdivision,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political subdivision may provide that such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filed with the duly constituted law department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political subdivision shall maintain on the home page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website a notice describing the official or law department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receive such claims. The notice shall identify the official or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by name and title and provide a mailing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filing of a claim with the official or law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on such website shall constitute substantial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failure of a political subdivision to maintain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up-to-date information as required by this subsection shall toll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deadline for making a claim in writing and the deadline for bringing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suit under sections 13-919 and 13-920.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the duty of the official with whom the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to present the claim to the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claims shall be in writing and shall set forth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of the occurrence giving rise to the claim and such other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to the claim as are known to the claimant.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13-905,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