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counties; to provide for the treatment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uncashed checks issued by counties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county treasurer and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a list of checks issued by his or her office that 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uncashed after two years, including the amount of the check and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person to whom the check was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such check for an amount of less than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void three years after the date of its issuance and shall cease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an obligation of the county at such time. Such check may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presented to the county board of such county which may approve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for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check that is void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charged off upon the books of the county,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shall credit the money, including any interest thereon,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of such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check that is void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cease to be intangible personal property held for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not be subject to the Uniform Disposition of Unclaimed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