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2; Holdcroft, 36;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achieving a better life experience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77-1403,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state recovery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amounts;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77-1403 (1) Unless otherwise permitted under section 529A,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account shall be the designated beneficiary of the account,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designated beneficiary of the account is a minor or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or other fiduciary appointed for the purposes of managing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financial affairs, a custodian or fiduciary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may serve as the account owner if such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is permitted or not prohibited under section 529A.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Unless otherwise permitted under section 529A,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account shall be a resident of the state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state. The State Treasurer shall determine residency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for such purpose in such manner as may be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permissible under section 529A or, in the absence of any guidance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529A, by such other means as the State Treasurer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advisable for purposes of satisfying the requirements of section 529A.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the extent permitted by federal law, upon the death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of an account, the owner of the account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representative of the designated beneficiary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account transferred to another account under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owner of the account, the designated beneficiary,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the designated beneficiary. If the balance of the account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death is less than or equal to five thousand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account or the personal representative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also have the balance of the account distributed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individuals specified by the designated beneficiary,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account, or the personal representative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time an account is established under the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any transfer or distribution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Treasurer shall notify the owner of the account,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beneficiary, and the estate of the designated beneficiary,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the potential tax consequences of transferring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funds pursuant to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death of a designated beneficiary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has received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state shall not seek recovery of any amount remaining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designated beneficiary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amount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the designated beneficiary upon the death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amount of medical assistance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or his or her spouse or dependent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 pursuant to the Medical Assistance Act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establishment of the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shall not file a claim for the payment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 of section 529A of the Internal Revenue Code,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77-1403,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