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911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Hardin, 48.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38-4401 and 68-901,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and section 71-1908,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requirements for licensed applied behavior analysts;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child care licensing requirements for certain facilities,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practices, and service locations; to provide powers and duties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and the Board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 Analysts;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38-4401,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38-4401 Sections 38-4401 to 38-4414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sections 2 to 4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Behavior Analyst Practice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licensed behavior analyst that supervises direct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maintain a physical presence in the state through: (1) A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 of practice or residence; or (2) direct client contact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supervision conducted within the state for a minimum of 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total direct service hours delivered per client per calendar month,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no fewer than two in-person supervisory observations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behavior technicians or equivalent staff during such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Remote-only clinical supervision is prohibited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applied behavior analysis treatment program providing more than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hours of direct services per client per week.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Supervising clinicians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Hold an active license under the Behavior Analyst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Conduct supervision in compliance with guidelines published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Behavior Analyst Certification Board, including a minimum of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observation of service hours;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Document at least one in-person observation of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implementation and client progress per client per month.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shall have authority to investigate complaints,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 supervision records, and take disciplinary action against licensees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violate the Behavior Analyst Practice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68-901 Sections 68-901 to 68-9,111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6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Medical Assistance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establish clinical review protocols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applied behavior analysis services under the Behavior Analyst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Act that exceed (1) twenty hours per week of direct service per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client or (2) twelve consecutive months of ongoing authorization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documented functional progress to ensure continuing medical necessity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prevent program overutilization.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71-1908,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71-1908 (1) Sections 71-1908 to 71-1923.03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8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Child Care Licensing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Legislature finds that there is a present and growing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quality child care programs and facilities. There is a need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and maintain licensure of persons providing such programs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ensure that such persons are competent and are using safe and adequate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 The Legislature further finds and declares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supervision of programs are a matter of statewide concern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should be dealt with uniformly on the state and local levels.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need for cooperation among the various state and local agencies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impose standards on licensees, and there should be one agency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coordinates the enforcement of such standards and informs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about cooperation among the various agencies.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facility, practice, or service location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to obtain licensure as a child care program under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Act solely on the basis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It provides medically necessary applied behavior analysis;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It serves clients younger than twenty years of age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billable therapeutic sessions;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It does not provide custodial care or recreational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outside the scope of a client's prescribed treatment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facility, practice, or service location providing applied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behavior analysis shall be subject to the requirements of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Act if it (a) offers or permits naps, meals, or nonclinical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recreational programming not associated with a treatment plan or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retains one or more children onsite for more than ten cumulative hours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 week of nonbillable, nontherapeutic time per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this section, nontherapeutic time means any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not (a) billable as medically necessary applied behavior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medicaid or private insurance or (b) used for required caregiver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or active case supervision documented by a licensed behavior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analyst.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department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specify when a dual licensing arrangement, waiver, or exemption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for applied behavior analysis programs that operate extended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day, summer, or wraparound care components.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38-4401 and 68-901,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 71-1908,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