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465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transportation network companies;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75-305 and 75-328,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annual fees;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use of a personal vehicle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75-305 (1) Every regulated motor carrier subject to sections 75-301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75-322 other than transportation network companies shall pay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not exceeding the sum of eighty dollars for each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operated, which fee shall be fixed by the commission and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actually necessary to sustain the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such sections. When the applicant has registered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motor vehicles under section 60-3,198, such fee shall be payable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shall be the lesser of (a) the proportion of his or her fleet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registered or (b) the number of motor vehicles owned by him or her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used in intrajurisdiction business within this state,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annual fee for any truck-trailer or tractor-trailer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one hundred twenty dollars. In the case of a truck-trailer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tractor-trailer combination, only one license plate shall be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combination.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Every transportation network company shall pay an annual fee.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company may choose to pay either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annual flat fee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twenty-five thousand dollars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annual per-vehicle fee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dollars for each personal vehicle operated by a driver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network company. The commission shall establish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annual 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 that the amount collected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amount actually necessary to sustain the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laws, rules, and regulations governing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companies.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Such annual fees shall be due and payable on or before January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delinquent on March 1 of each year after such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has been issued. If the initial certificate or permit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a motor carrier on or after July 1, the fee shall be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annual fee. Such fees shall be paid to and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and remitted to the State Treasurer within thirty days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receipt. The State Treasurer shall credit fees received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to the Transportation Network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Cash Fund for enforcement of laws, rules,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transportation network companies.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fees received pursuant to subsection (1) of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75-328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order to be used under sections 75-323 to 75-343,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vehicle shall be in compliance with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required for a passenger car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60-345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transportation network company or a certified mechanic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 an initial safety inspection on each personal vehicle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approving it for use as a personal vehicle. The inspection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of at least the following components and such components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in good working order: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Foot brakes;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Parking or emergency brakes;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Steering mechanism;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Windshield;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Rear window and other glass;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Windshield wipers;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Headlights;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Taillights;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Turn indicator lights;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Stop lights;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Front seat adjustment mechanism;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The opening, closing, and locking capability of doors;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 Horn;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 Speedometer;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 Bumpers;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 Muffler and exhaust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 Tire conditions, including tread depth;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(r) Interior and exterior rear-view mirrors;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(s) Safety belts for driver and passengers.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Annually thereafter, a driver shall obtain such an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approval of the driver's personal vehicle in order to continue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use as a personal vehicle. A driver shall maintain proof of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transportation network company shall make the initial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 inspection reports available to the commission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75-305 and 75-328,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