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77-2715.07, Revised Statutes Supplement, 2025; to provide an income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related to premium payments for a qualified health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Adoption Tax Credit Act, the Angel Investment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Advantage Microenterprise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Act, the Reverse Osmosis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Tax Credit Act, or the Volunteer Emergency Responders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refundable credit as provided in section 77-7203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under the Child Care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 for all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(i) contributions to programs or projects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 and (ii) contributions to certified community betterment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as provided in the Community Development Assistance Act.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partner, each shareholder of an electing subchapter S corporation,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an estate or trust, or each member of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 report his or her share of the credit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proportion as he or she reports the partnership,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trust, or limited liability company 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90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(i)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projects certified for tax credit status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High Impact Economic Futures Act and (ii)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community betterment programs as provided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Assistance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2032,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1967 shall be allowed to any individual who received a premium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credit under 26 U.S.C. 36B for the taxable year.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equal to the difference between the premium assistance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allowed by 26 U.S.C. 36B(b)(3)(A)(iii) as it existed prior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and the premium assistance credit amount otherwise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 U.S.C. 36B(b)(3)(A)(i) and (ii).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77-2715.07,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