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Murman, 38, Chairperson; Hughes, 24;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Lonowski, 33; Meyer, G.,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79-257,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79-257 The school board or board of education may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exclusion, short-term or long-term suspension, expulsion,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reassignment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pupil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school for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the board's rules or standards established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 if such emergency exclusion, short-term or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suspension, expulsion, or mandatory reassignment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required by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79-257,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