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831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actions; to provide limitations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civil actions relating to exposure to ethylene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oxide; and to define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sections 1 to 5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Conduct refers to acts of commission and omission;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Ethylene oxide exposure action means a civil action seeking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damages for personal injury caused by the exposure of an individual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ethylene oxide.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Ethylene oxide exposure action does not include any claim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by the Nebraska Workers' Compensation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Health care business means a person engaged in business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care industry, including the manufacturing, sale and distribution,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sterilization, storage, and transportation of medical devices.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health care business shall not be liable for damages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ethylene oxide exposure action unless the plaintiff proves by clear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convincing evidence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conduct of the health care business giving rise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was not in substantial compliance with relevant federal laws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At the time of such conduct, the health care business was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making reasonable efforts, in light of all the circumstances, to maintain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substantial compliance with such federal laws and regulations;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Such conduct amounted to gross negligence or willful misconduct;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conduct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directly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proximately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resulted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39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plaintiff's exposure to ethylene oxide and directly and proximately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caused personal injury to the plaintiff.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In any ethylene oxide exposure action, the plaintiff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plead with particularity: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Each element of the plaintiff's claim;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Each alleged act or omission constituting gross negligence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willful misconduct that resulted in personal injury caused by exposure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ethylene oxide.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In any ethylene oxide exposure action, the plaintiff shall file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complaint a statement of specific information as to the 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amount of each element of damages claimed and the factual basis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damages calculation.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any ethylene oxide exposure action in which a claim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asserted on which the plaintiff may prevail only on proof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defendant acted with a particular state of mind, there shall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complaint, with respect to each element of that claim,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of the facts giving rise to a strong inference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defendant acted with the required state of mind.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Sections 1 to 5 of this act constitute an exclusive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of action for ethylene oxide exposure actions.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plaintiff may prevail in an ethylene oxide exposure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in accordance with the requirements of sections 1 to 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ethylene oxide exposure action that was filed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 and that is pending on such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ethylene oxide exposure action filed on or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