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971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Guereca, 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insurance; to require coverage of asthma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inhalers as 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Notwithstanding section 44-3,131, (a) any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group sickness and accident insurance policy or subscriber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delivered, issued for delivery, or renewed in this state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hospital, medical, or surgical expense-incurred policy, except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policies that provide coverage for a specified disease or other limited-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coverage, and (b) any self-funded employee benefit plan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extent not preempted by federal law shall provide coverage for inhalers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treatment of asthma when prescribed by a licensed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practitioner.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Coverage shall be provided for one form of rescue and one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maintenance inhaler that shall not be subject to a deductible,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copayment, coinsurance, or other cost-sharing arrangement. If the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a high deductible health plan as defined in section 223(c)(2)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Internal Revenue Code of 1986, such coverage may be subject to the plan's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 deductible if application of this requirement would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ineligibility for a health savings account.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