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Site and Building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81-12,147,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grant to a city of the first class; to state intent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grant to a city of the first class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of less than fifty thousand inhabitants impacted by a sudden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significant private-sector entity closure or downsizing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significant impact on the community. The grant shall be used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mitigate the economic impact of the closure or downsizing by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improvements to the buildings or infrastructure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of the private-sector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appropriate XX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General Fund for purposes of carrying out subdivision (1)(m)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81-12,147,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