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legislation; to amend section 84-906.03,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the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to prepare economic impact reports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Secretary of State to provide an annual report of rules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regulatory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adoption, promulgation, amendment, or withdrawal of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as defined in section 84-901.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Along with a fiscal note, the Legislative Fiscal Analyst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 and submit an economic impact report to the appropriate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Legislature, for any legislative bill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require, as the result of being signed into law, regulatory action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as defined in section 84-901.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economic impact report shall include a cost benefit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estimated primary or direct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estimated cost savings or financial benefits to society;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estimated number of businesses or other entities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regulatory action will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identity of any localities and types of businesses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that will be particularly affected by the regulatory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estimated compliance costs for regulated entities,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for affected businesses, localities, or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estimated impact on the use and value of private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additional costs related to the development of real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or residential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estimated effect on state expenditures, including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estimated secondary or indirect costs;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Key assumptions and sources of uncertainty.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State agencies shall cooperate with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 by providing any information relevant to the economic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84-906.03,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84-906.03 It shall be the duty of the Secretary of State: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establish and cause to be compiled, indexed by subject,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 codification system for all rules and regulations filed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the Nebraska Administrative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cause the Nebraska Administrative Code to be computerized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agencies in revision of their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research capabilities;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post a current copy of existing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Secretary of State as filed on the website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State; to distribute a current copy of any existing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as accepted by the Secretary of State as filed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on request at a price fixed to cover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printing, handling, and mailing; and to distribute, on a regular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of any or all modifications or amendments to agency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accepted by the Secretary of State as filed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on request at a price fixed to cover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printing, handling, and mailing;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remit fees collected pursuant to this section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Secretary of State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create and submit to the Clerk of the Legislature at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calendar year, a report, indexed by agency, including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new and amended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84-906.03,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