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805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Hardin, 48; Lippincott, 34; McKeon, 41;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for cranial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helmets for certain infants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section 44-3,131, (a) any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sickness and accident insurance policy, certificate, or subscriber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delivered, issued for delivery, or renewed in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medical, or surgical expense-incurred policy, except for short-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major medical policies of six months or less duration and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 coverage for a specified disease or other limited-benefit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coverage, and (b) any self-funded employee benefit plan,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preempted by federal law, shall include coverage for cranial helmets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infants up to one year of age to treat deformational plagiocephaly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craniosynostosis.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