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471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McKeon, 41.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prohibit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restrictions by state agencies, state entities, counties, cities,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villages relating to the energy source of motor vehicles;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certain actions of the Department of Environment and Energy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vehicle emission standards.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state agency or other state entity shall restrict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of, purchase of, or sale of any motor vehicle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39-101 based on the energy source used to power any component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vehicle, including any energy source used for propulsion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or used for powering any function of the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county, city, or village shall restrict the use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of, or sale of any motor vehicle as defined in section 39-101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on the energy source used to power any component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vehicle, including any energy source used for propulsion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or used for powering any function of the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Environment and Energy shall not seek,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 to be sought, any waiver from the federal Clean Air Act to enact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stringent vehicle emission standards than required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Environmental Protection Agency.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