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826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DeKay, 40; Lippincott, 34.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77-3512 and 77-3514.01,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2024; to change provisions relating to late applications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homestead exemptions; to harmonize provisions;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77-3512 (1) It shall be the duty of each owner who wants a homestead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under section 77-3506, 77-3507, or 77-3508 to file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therefor with the county assessor of the county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homestead is located after February 1 and on or before June 30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county board of the county in which the homestead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by majority vote, extend the deadline for an applicant to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July 20. An extension shall not be granted to an applicant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an extension in the immediately preceding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owner may file a late application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77-3514.01 if he or she includes documentation of a medical condition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impaired the owner's ability to file the application in a timely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owner may file a late application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77-3514.01 if he or she includes a copy of the death certificate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who died during the year for which the exemption is requested;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 owner may file a late application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77-3514.01 if he or she includes documentation showing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certification of status described in subsection (2) of section 77-3506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received from the United States Department of Veterans Affairs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veteran qualifying for a homestead exemption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section 77-3506 shall only be required to file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in every subsequent year evenly divisible by five;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 veteran who has been granted a homestead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(2)(a) of section 77-3506 dies during the five-year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period, the surviving spouse of such veteran shall continue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such exemption for the remainder of the five-year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period. After the expiration of the five-year exemption period,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spouse shall be required to file for an exemption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(2)(b) of section 77-3506 on an annual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Failure to file an application as required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constitute a waiver of the exemption for the year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failure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77-3514.01,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77-3514.01 (1) A late application filed pursuant to section 77-3512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a medical condition which impaired the claimant's 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in a timely manner shall only be for the current tax year. The 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shall be filed with the county assessor on or before June 30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year in which the real estate taxes levied on the property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year become delinquent.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late application filed pursuant to section 77-3512 because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death of a spouse during the year for which the exemption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shall only be for the current tax year. The late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with the county assessor on or before June 30 of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real estate taxes levied on the property for the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become delinquent.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late application filed pursuant to section 77-3512 because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certification of the status described in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77-3506 was received from the Department of Veterans Affairs after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 shall only be for the current tax year. The late application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with the county assessor on or before June 30 of the year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real estate taxes levied on the property for the current year become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delinquent.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Applications filed under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certification of the medical condition affecting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physician, physician assistant, or advanced practice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nurse. The medical certification shall be made on forms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Applications filed under subsection (2)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a copy of the death certificate of the deceased spouse.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Applications filed under subsection (3)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documentation showing that the certification of status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subsection (2) of section 77-3506 was received from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Veterans Affairs after June 30.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assessor shall approve or reject the late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of receipt of the late filing. If approved,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 shall mark it approved and sign the application. In case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finds that the exemption should not be allowed by reason of not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conformity to law, the county assessor shall mark the application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rejected and state the reason for rejection and sign the application.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case when the county assessor rejects an exemption, he or she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applicant of such action by mailing written notice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at the address shown in the application. The notice shall be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forms prescribed by the Tax Commissioner. In any case when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 rejects an exemption, such applicant may obtain a hearing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board of equalization in the manner described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77-3512 and 77-3514.01,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