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School District Property Tax Relief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77-7305,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amount of relief granted;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year 2024 and each tax year thereafter. The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the form of property tax credits which appear on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statements. Property tax credits granted under the act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amount of property taxes owed to school districts.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property tax relief granted under the act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 2024,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seven hundred fifty million dollars. For tax year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amount of relief granted under the act shall be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million dollars. For tax year 2026,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eight hundred eight million dollars.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2027, the minimum amount of relief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eight hundred thirty-eight million dollars. For tax year 2028,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relief granted under the act shall be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 million dollars. For tax year 2029,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granted under the act shall be nine hundred two million dollars.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2030, the minimum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minimum amount from the prior tax year plus a percentage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the percentage increase, if any, in the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real property in the state from the prior year to the current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determined by the Department of Revenue, plus an additional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five million dollars.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minimum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minimum amount of relief from the prior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plus a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equal to the percentage increase, if any, in the total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all real property in the state from the prior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year, as determined by the Department 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 relief provided pursuant to subdivision (1)(b)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with such amount then increased by three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money is transferred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pursuant to section 77-4602,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to the minimum amount required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when determining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 year in which the transfer occurs. If no such transfer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given tax year, the minimum amount required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be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tax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60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 Upon the return of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the county treasurer shall electronically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with the Property Tax Administrator,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indicating the amount of funds distributed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in the year the funds were returned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retaining one percent of the amount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for costs,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 the remaining funds,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77-7305,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