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violence services;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$3,000,000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Cash Fund for FY2025-26 and (2) $3,000,000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Health and Human Services Cash Fund for FY2026-27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Health and Human Services, for Program 354, for domestic violence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