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Andersen, 49; Clements, 2; Lonowski, 33.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each school board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 to adopt a policy relating to access by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educational decisionmaker to certain school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information.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decisionmaker has the same meaning as in section 79-530.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school board of a public school district shall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policy for implementation at the beginning of the 2026-27 school year,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3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guardian,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132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decisionmaker to access school library materials. Such policy shall: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Require the creation of a catalog of all books in the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district's library, categorized by school building, which shall be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viewing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guardian,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65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decisionmaker of a student attending such school district;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Provide the opportunity for a parent, guardian, or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decisionmaker of a student to be notified when the student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parent, guardian, or educational decisionmaker checks out a book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library by means of a website or application notification or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opting in to email notifications. Such notification shall include: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title of the book checked out by the student;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name of the author of the book checked out by the student;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date the book checked out by the student is due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returned to the school library.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shall only apply to a school library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 on school district property and shall not apply to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library regardless if such library contracts with a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for use by students.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