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District Property Tax Limitation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79-3403 and 79-3406,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provisions relating to the calculation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and the carrying forward of unused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(1) Except as provided in sections 79-3404 and 79-3405,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for any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calculate each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on an annual basis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school district's property tax request from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minus the amount, if any, the property tax request exceeded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district's property tax request authority in the prior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79-3405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added to the non-property-tax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minus any investment income from special building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year, and the total shall be increased by the school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determined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be decreased by the amount of total non-property-tax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current year and adjusted for any known or documented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by the department from the school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total non-property-tax revenue for the current year,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 of non-property-tax revenue for which there is insufficient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June 1 to make an accurate determination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prior year's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certify the amount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under this section to the school board of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certified amount shall be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79-3406 A school district may choose not to increase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by the full amount allowed by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in a particular year. In such cases, the school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carry forward to future years the amount of unused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excluding any increases to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resulting from increases of the school district's base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pursuant to section 79-3405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calculate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district's unused property tax request authority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accounting of such amount to the school board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unused property tax request authority may then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years for increases in the school district's property tax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79-3403 and 79-3406,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