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150A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Bosn, 25.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May 19, 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150,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First Session,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LB150A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LB150A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Section 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$146,056 from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for FY2025-26 and (2) $147,609 from federal funds for FY2026-27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Commission on Law Enforcement and Criminal Justice,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155, to aid in carrying out the provisions of Legislative Bill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150, One Hundred Ninth Legislature, First 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$97,078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FY2025-26 or $101,932 for FY2026-27.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