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Hospital Quality Assurance and Access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Fund; to require appropriations; and to state intent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rates.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shall appropriate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for fiscal year 2025-26 and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for fiscal year 2026-27 from the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Assurance and Access Assessment Fund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 for the medical assistance program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reimbursement to mental health providers who do not practice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and who provide behavioral health services to medicaid-eligible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participants who are dually eligible beneficiaries that are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medicaid and medicare. For dual eligible recipients, the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or medicare rate shall be paid for behavioral health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sustain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for mental health providers serving medicaid-eligible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dually eligible beneficiaries that are eligible for both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medicare and who are receiving behavioral health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assistance program.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