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298A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Arch, 14.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section 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261, One Hundred Ninth Legislature, First Session,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appropriate funds to aid in carrying out the provisions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298, One Hundred Ninth Legislature, First Session,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an appropriation;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LB298A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LB298A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$680,000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 for FY2025-26 and (2) $680,000 from the General Fund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 to the Legislative Council, for Program 129, to aid in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298,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6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First Session,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from funds appropriated in this section shall not exceed $590,500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FY2025-26 or $615,700 for FY2026-27.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21, Legislative Bill 261, One Hundred 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Legislature, First Session, 2025,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3 — LEGISLATIVE COUNCIL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504 - Office of Public Counsel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700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1,522,116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1,522,116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2,202,116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2,202,116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1,522,116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1,522,116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2,202,116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2,202,116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1,403,997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1,454,309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1,994,497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2,070,009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unexpended General Fund appropriation balance existing on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30, 2025, is hereby reappropriated.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21, Legislative Bill 261, One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 Legislature, First Session, 2025, is repealed.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28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