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Uniform Limited Liability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Act; to amend section 21-193,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change provisions relating to notice;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to create a web page for notices; to charge a fee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electronic publication of notices;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21-193,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21-193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Notice of organization, amendment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organization, merger, conversion, or domestication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Published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published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successive weeks in some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near the designated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Electronically published on the web page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notice of organization must show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(b) of section 21-117 to be stated in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brief resume of any amendment of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of any merger, conversion, or domestication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shall be published in the same manner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period of time as notice of organization is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Secretary of State shall establish and maintain an easy-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to-use and publicly accessible web page on the Secretary of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website for the electronic publication of notices of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amendment of the certificate of organization, merger, conversion,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domestication of limited liability companies.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web page shall allow members of the public to view, search,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retrieve published notices at no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Secretary of State shall collect a fee of twenty dollars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a notice is published on the web page from the publisher.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shall retain an amount of such fees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 the administrative costs incurred by the Secretary of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developing, operating, and maintaining the web page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 The Secretary of State shall remit the remaining balance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to the State Treasurer. The State Treasurer shall credit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balance of the fees to the Innovation Hub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Secretary of State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any limited liability company is voluntarily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dissolved, notice of the dissolution shall be published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21-150.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Proof of publication of any of the notices shall be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the Secretary of State. In the event any notice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and required to be given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is not given, but is subsequently published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required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proof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thereof is filed in the office of the Secretary of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of the limited liability company prior to, as well as after,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shall be valid.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21-193,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