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Financial Fraud Victims' Reimbursement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amend section 84-222,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administrator of the fund to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powers and duties for the patrol;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84-222,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84-222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Financial transaction offense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Victim includes both individuals and persons,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financial institutions.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Financial Fraud Victims' Reimbursement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be 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assets forfeited from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as provided in subdivision (8)(b)(ii) of section 28-1601.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victim who has suffered loss as a result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offense may apply for reimbursement from the fund.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submitted in a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an applicant has suffered a qualifying loss and, if so,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reimbursement that shall be made. An applicant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reimbursement from the funds forfeited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transaction offense of which the applicant was a victim.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more applicants with qualified losses than there are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Patrol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Attorney 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on a pro rata basis according to the amount of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suffered.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Funds relating to a financial transaction offense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into the Financial Fraud Victims' Reimbursement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(8)(b)(ii) of section 28-1601 shall remain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Fraud Victims' Reimbursement Fund until the later of: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Thirty-six months following the date of such transfer;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Resolution of any applications filed during such thirty-six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the expiration of the period described in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such funds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84-222,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