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LB354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LB354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354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Clouse, 37.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16,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revenue and taxation;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77-27,139.03, Reissue Revised Statutes of Nebraska; to prohibit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cities of the first class from receiving state aid from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 Equalization Fund;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LB354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LB354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77-27,139.03,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77-27,139.03 (1) State aid provided to municipalities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77-27,139.01 to 77-27,139.04 shall be calculated by determining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average property tax levy for operational purposes other than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principal and interest payments on the indebtedness of all incorporated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municipalities. The Auditor of Public Accounts shall provide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Revenue a list of the bond and nonbond tax request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most recent budgets filed by incorporated municipalities.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shall be used to calculate the bond and nonbond tax levies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aid purposes under this section. The auditor shall provide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to the department by February 1 each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Each municipality shall receive state aid from the Municipal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Equalization Fund equal to (a) the product of the average per capita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of the appropriate population group multiplied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current population of the municipality minus (b) the product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average property tax levy multiplied by the certified valuation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incorporated municipality, except that a municipality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 any aid under this section if the calculation results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negative number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if such municipality is a city of the first class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a municipal tax levy for operational purposes was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average property tax levy in the immediately preceding fiscal year,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aid provided to such municipality shall be reduced by twenty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for each one-cent increment the levy was below the average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levy but the reduction shall not exceed eighty percent.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If the amount of money in the Municipal Equalization Fund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 than the total amount of state aid for all municipalities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the allocation formula in subsection (2) of this 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in the fund shall be allocated on a prorated basis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municipalities. If the amount of money in the fund is more than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state aid for municipalities as required by the allocation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LB354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LB354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formula, the excess money in the fund shall be credited to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77-27,139.03,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123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