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673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Perkins County Canal Project;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61-302 and 61-305,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restate intent relating to the Perkins County Canal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Project; to transfer money from the Perkins County Canal Project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Sustainability Fund;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61-302 (1) The Legislature finds that it is essential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prosperity, health, and welfare of the people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to the environmental health of the entire Platte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to protect Nebraska's full entitlement to the flows of the South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 River as provided for in the South Platte River Compact. The South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 River Compact is the law of Nebraska and of the United States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authorizes Nebraska to develop a canal and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facilities for the diversion of water from the South Platte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beneficial use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declares that a canal and associated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which shall be known as the Perkins County Canal Project,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developed, constructed, managed, and operated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State of Nebraska consistent with the South Platte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Compact and pursuant to the Perkins County Canal Project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61-305,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61-305 (1) The Perkins County Canal Project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Department of Natural Resources.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credit to the fund any money transferred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such grants, loans, donations, gifts,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from any federal or state agency or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for use by the department for the canal project. Any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for water delivery may be credited to the fund.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Perkins County Canal Project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Perkins County Canal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such fund, except that for fiscal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2023-24, 2024-25, and 2025-26, such investment earnings shall be credited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84-622.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Treasurer shall transfer five hundred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Perkins County Canal Project Fund to the Water Sustainability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before June 30, 2025,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use the Perkins County Canal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Fund to identify the optimal route and purchase land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develop, construct, manage, and operate the Perkins County Canal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outlined by the South Platte River Compact and to contract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firm for the purposes of completing a study of such canal.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study shall include, but may not be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Costs of completion of a canal and adjoining reservoirs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outlined in the South Platte River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timeline for completion of a canal and adjoining reservoirs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outlined in the South Platte River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cost-effectiveness study examining alternatives,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that may reduce environmental or financial impacts;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impacts of the canal on drinking water supplies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Lincoln and Omaha.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provide the findings of such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and present the findings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public hearing held by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or before December 31, 2022.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61-302 and 61-305,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