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22A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12, 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22,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First Session, 2025.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$380,628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Medicaid Managed Care Excess Profit Fund and $694,972 from federal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FY2025-26 and (2) $774,002 from the Medicaid Managed Care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Profit Fund and $1,377,198 from federal funds for FY2026-27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Health and Human Services, for Program 348, to 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carrying out the provisions of Legislative Bill 22,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First 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$380,628 Cash Funds and $694,972 federal funds for state aid,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only be used for such purpose. There is included in the appropriation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program for FY2026-27 $774,002 Cash Funds and $1,377,198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for state aid,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