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Protection Orders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26-118, Revised Statutes Supplement, 2025; to change penalties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domestic abuse and sexual assault protection orders;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26-118 (1) Any person, except the petitioner, who knowingly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protection order issued pursuant to the Protection Orders Act,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notice as described in subsection (4) of section 26-114,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foreign protection order recognized pursuant to section 26-123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shall be guilty of an offense and punished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 violation involving a domestic abuse protection order,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protection order, a valid foreign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recognized pursuant to section 26-123,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sexual assault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Class I misdemeanor for a first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Class IV felony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second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subsequent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Class IIIA felony for a third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Class IIA felony for any fourth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violation of a harassment protection order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harassment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 Class II misdemeanor for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and a Class I misdemeanor for any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26-118,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