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1014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Uniform Limited Liability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Act; to amend section 21-193,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change provisions relating to notice; to require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to create a web page for notices; to charge a fee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electronic publication of notices;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21-193,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21-193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Notice of organization, amendment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organization, merger, conversion, or domestication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Published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published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three successive weeks in some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of general circulation near the designated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Electronically published on the web page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notice of organization must show the information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(b) of section 21-117 to be stated in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brief resume of any amendment of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or of any merger, conversion, or domestication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shall be published in the same manner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period of time as notice of organization is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Secretary of State shall establish and maintain an easy-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to-use and publicly accessible web page on the Secretary of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website for the electronic publication of notices of organization,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amendment of the certificate of organization, merger, conversion,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domestication of limited liability companies.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web page shall allow members of the public to view, search,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retrieve published notices at no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Secretary of State shall collect a fee of twenty dollars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time a notice is published on the web page from the publisher.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Secretary of State shall retain an amount of such fees 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 the administrative costs incurred by the Secretary of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developing, operating, and maintaining the web page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subsection. The Secretary of State shall remit the remaining balance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fees to the State Treasurer. The State Treasurer shall credit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remaining balance of the fees to the Innovation Hub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Secretary of State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necessary to 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Whenever any limited liability company is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dissolved, notice of the dissolution shall be published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21-150.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Proof of publication of any of the notices shall be filed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the Secretary of State. In the event any notice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(1) of this section and required to be given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section is not given, but is subsequently published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required time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proof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thereof is filed in the office of the Secretary of State,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acts of the limited liability company prior to, as well as after,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shall be valid.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21-193,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