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Act; to amend section 49-1446.02,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prohibited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by committees;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49-1446.02,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49-1446.02 Notwithstanding any other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Accountability and Disclosure Act, no committee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purchase or payment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Clothes or medical or dental expenses of a candidate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his or her 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Installment payments for an automobile owned by a 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Mortgage or rental payments for a permanent residence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satisfaction of personal debts, including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on personal loans, except campaign loans subject to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(2) of section 49-1456;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Personal services, including the services of a lawyer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accountant, except campaign services subject to reporting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section 49-1455;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Office supplies, staff, or furnishings for the public office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individual is a candidate for nomination or election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out in subsection (2) of section 49-1446.01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the case of a ballot question committee,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influencing or attempting to influence the action of voters in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or in opposition to the nomination or election of a candidate;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 the case of a candidate committee, goods,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or facilities on behalf of a ballot question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for the purpose of receiving a lower rate on advertisements,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broadcast of advertisements which were produced by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 committee but paid for by the candidate committee.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shall not prohibit a candidate or candidate committee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expressing a position or opinion in support of or in opposition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question or initiative or referendum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49-1446.02,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