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legislation; to amend section 84-906.03,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require the Legislative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to prepare economic impact reports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Secretary of State to provide an annual report of rules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regulatory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the adoption, promulgation, amendment, or withdrawal of a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as defined in section 84-901.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Along with a fiscal note, the Legislative Fiscal Analyst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prepare and submit an economic impact report to the appropriate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Legislature, for any legislative bill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require, as the result of being signed into law, regulatory action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as defined in section 84-901.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economic impact report shall include a cost benefit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estimated primary or direct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estimated cost savings or financial benefits to society;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estimated number of businesses or other entities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regulatory action will apply;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identity of any localities and types of businesses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 that will be particularly affected by the regulatory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estimated compliance costs for regulated entities,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for affected businesses, localities, or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estimated impact on the use and value of private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additional costs related to the development of real estate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or residential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estimated effect on state expenditures, including estimated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expenses;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estimated secondary or indirect costs;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Key assumptions and sources of uncertainty.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State agencies shall cooperate with the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Analyst by providing any information relevant to the economic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84-906.03,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84-906.03 It shall be the duty of the Secretary of State: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establish and cause to be compiled, indexed by subject,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a codification system for all rules and regulations filed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the Nebraska Administrative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cause the Nebraska Administrative Code to be computerized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agencies in revision of their rules and regulations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research capabilities;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post a current copy of existing rules and regulations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by the Secretary of State as filed on the website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State; to distribute a current copy of any existing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as accepted by the Secretary of State as filed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persons on request at a price fixed to cover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printing, handling, and mailing; and to distribute, on a regular basis,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of any or all modifications or amendments to agency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as accepted by the Secretary of State as filed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persons on request at a price fixed to cover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printing, handling, and mailing;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remit fees collected pursuant to this section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Secretary of State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To create and submit to the Clerk of the Legislature at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each calendar year, a report, indexed by agency, including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new and amended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84-906.03,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