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1113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22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Quick, 35; Rountree, 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Community Development Law;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18-2147, Revised Statutes Supplement, 2025;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notices for dividing ad valorem taxes;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18-2147,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 (1) Any redevelopment plan as originally approved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modified pursuant to section 18-2117 may contain a provision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ad valorem tax levied upon real property, or any portion thereof,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redevelopment project for the benefit of any public body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divided, for the applicable period described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portion of the ad valorem tax which is produced by the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rate fixed each year by or for each such public body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valuation shall be paid into the funds of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 in the same proportion as are all other taxes collected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body. When there is not a redevelopment project valuation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 or parcels, the county assessor shall determine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valuation based upon the fair market valuation of the parcel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parcels as of January 1 of the year prior to the year that the ad valorem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are to be divided. The county assessor shall provide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redevelopment project valuation to the authority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18-2103 and the owner. The authority or owner may protest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to the county board of equalization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valuation notice. All provisions of section 77-1502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dates for filing of a protest, the period for hearing protests,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date for mailing notice of the county board of equalization's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are applicable to any protest filed pursuant to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equalization shall decide any protest filed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within thirty days after the filing of the protest.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mail a copy of the decision made by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equalization on protests pursuant to this section to the authority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within seven days after the board's decision. Any decision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equalization may be appealed to the Tax Equalization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Commission, in accordance with section 77-5013, within thirty days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decision;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portion of the ad valorem tax on real property,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redevelopment contract, bond resolution, or redevelopment plan,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in the redevelopment project in excess of such amount,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shall be allocated to and, when collected, paid into a special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authority to be used solely to pay the principal of,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on, and any premiums due in connection with the bonds of, loans, notes,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advances of money to, or indebtedness incurred by, whether funded,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refunded, assumed, or otherwise, such authority for financing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refinancing, in whole or in part, the redevelopment project.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bonds, loans, notes, advances of money, or indebtedness,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and premiums due, have been paid, the authority shall so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and county treasurer and all ad valorem taxes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real property in such a redevelopment project shall be paid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of the respective public bodies. An authority may use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purposes of this subdivision for all redevelopment projects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use a separate fund for each redevelopment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interest and penalties due for delinquent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into the funds of each public body in the same proportion as are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taxes collected by or for the public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the extent that a redevelopment plan authorizes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 valorem taxes levied upon only a portion of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such redevelopment plan, any improvements funded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taxes shall be related to the redevelopment plan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such division of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 any redevelopment plan located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that includes a division of taxes,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that produces, in whole or in part, funds to be used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for (i) new construction, rehabilitation,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for households with annual incomes below the area median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households and located within six hundred yards of a public passenger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streetcar or (ii) new construction, rehabilitation,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single-family housing or condominium housing used as primary residences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individuals with annual incomes below the area median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such housing shall be deemed related to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that authorized such division of taxes regardless of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is or will be located on real property within such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as long as such housing supports activities occurring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in such redevelopment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During each fiscal year in which the funds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are available, the authority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best efforts to allocate not less than thirty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single-family housing deemed related to the redevelopment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under such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selecting projects to receive funding, the authority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 a qualified allocation plan and give first priority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financially viable projects that serve the lowest income occupants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longest period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For any redevelopment plan for which more than fifty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in the redevelopment project area has been declared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extremely blighted area in accordance with section 18-2101.02, ad valorem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shall be divided for a period not to exceed twenty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as identified in the project redevelopment contract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resolution of the authority authorizing the issuance of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18-2124.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other redevelopment plans, ad valorem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for a period not to exceed fifteen years after the effective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identified in the project redevelopment contract, in the resolution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authorizing the issuance of bonds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18-2124, or in the redevelopment plan, whichever is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effective date of a provision dividing ad valorem taxes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(4) of this section shall not occur until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as the real property in the redevelopment project is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boundaries of the city. This subsection shall not apply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involving a formerly used defense site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18-2123.01.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All notices of the provision for dividing ad valorem taxes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sent by the authority to the county assessor on forms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Administrator. The notice shall be sent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assessor on or before July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year of the effective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provision. Failure to satisfy the notice requirement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result in the taxes, for all taxable years affected by the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give notice of the effective date of the provision,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undivided and being paid into the funds for each public body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generated by the property in the redevelopment project.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However, the redevelopment project valuation for the remaining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 valorem taxes in accordance with subdivisions (1)(a) and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the last certified valuation for the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effective date of the provision to divide the taxes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portion of the twenty-year or fifteen-year period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18-2147,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